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highlight w:val="none"/>
        </w:rPr>
      </w:pPr>
      <w:r>
        <w:rPr>
          <w:b/>
          <w:highlight w:val="none"/>
        </w:rPr>
        <w:t xml:space="preserve">Explore samples </w:t>
      </w:r>
      <w:r>
        <w:rPr>
          <w:b/>
          <w:highlight w:val="none"/>
        </w:rPr>
      </w:r>
      <w:r/>
    </w:p>
    <w:p>
      <w:pPr>
        <w:rPr>
          <w:highlight w:val="none"/>
        </w:rPr>
      </w:pP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t xml:space="preserve">Open terminal </w:t>
        <w:br/>
        <w:t xml:space="preserve">cd users/HGXXX/id22</w:t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List of files</w:t>
        <w:br/>
        <w:t xml:space="preserve">ls _lrt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For each sample, a directory was created during data acquisition</w:t>
        <w:br/>
        <w:t xml:space="preserve">cd sample_name</w:t>
      </w:r>
      <w:r>
        <w:rPr>
          <w:highlight w:val="none"/>
        </w:rPr>
      </w:r>
      <w:r/>
    </w:p>
    <w:p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In this sample folder, data are in .h5 (data are also available as .dat in the « datfiles» folder)</w:t>
      </w:r>
      <w:r>
        <w:rPr>
          <w:highlight w:val="none"/>
        </w:rPr>
      </w:r>
      <w:r/>
    </w:p>
    <w:p>
      <w:pPr>
        <w:rPr>
          <w:b/>
        </w:rPr>
      </w:pPr>
      <w:r>
        <w:rPr>
          <w:b/>
        </w:rPr>
        <w:t xml:space="preserve">Binning procedure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In the id22 folder, in order to use beamline specific softwares such as id22sum, connect to diffract22new: ssh -X opid22@diffract22new (pwd tonic22) </w:t>
      </w:r>
      <w:r>
        <w:rPr>
          <w:highlight w:val="none"/>
        </w:rPr>
      </w:r>
      <w:r/>
    </w:p>
    <w:p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t xml:space="preserve">You are now connected to diffract22</w:t>
        <w:br/>
        <w:t xml:space="preserve">Go in the « users » folder </w:t>
        <w:br/>
        <w:t xml:space="preserve">cd users</w:t>
      </w:r>
      <w:r/>
    </w:p>
    <w:p>
      <w:pPr>
        <w:rPr>
          <w:highlight w:val="none"/>
        </w:rPr>
      </w:pP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t xml:space="preserve">Go in your experiment folder</w:t>
        <w:br/>
        <w:t xml:space="preserve">cd hg172</w:t>
      </w:r>
      <w:r/>
    </w:p>
    <w:p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t xml:space="preserve">Go in the id22 folder</w:t>
        <w:br/>
        <w:t xml:space="preserve">cd id22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t xml:space="preserve">Go in the « processing » folder (HGXXX/id22/processing)</w:t>
        <w:br/>
        <w:t xml:space="preserve">cd processing 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Create a directory for your sample :</w:t>
        <w:br/>
        <w:t xml:space="preserve">mkdir UN_sample_name</w:t>
      </w:r>
      <w:r>
        <w:rPr>
          <w:highlight w:val="none"/>
        </w:rPr>
        <w:t xml:space="preserve"> (UN = User Name)</w:t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Go in this directory</w:t>
        <w:br/>
        <w:t xml:space="preserve">cd UN_sample_name</w:t>
      </w:r>
      <w:r>
        <w:rPr>
          <w:highlight w:val="none"/>
        </w:rPr>
        <w:t xml:space="preserve">  </w:t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</w:t>
      </w:r>
      <w:r>
        <w:rPr>
          <w:highlight w:val="none"/>
        </w:rPr>
        <w:t xml:space="preserve"> Copy file to correct offset between the Si detectors</w:t>
        <w:br/>
      </w:r>
      <w:r>
        <w:rPr>
          <w:highlight w:val="none"/>
        </w:rPr>
        <w:t xml:space="preserve">cp ../temp.res . </w:t>
      </w:r>
      <w:r>
        <w:rPr>
          <w:highlight w:val="none"/>
        </w:rPr>
      </w:r>
      <w:r/>
    </w:p>
    <w:p>
      <w:pPr>
        <w:rPr>
          <w:i/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Create a .xye « total » file (sum of all scans)</w:t>
        <w:br/>
      </w:r>
      <w:r>
        <w:rPr>
          <w:highlight w:val="none"/>
        </w:rPr>
        <w:t xml:space="preserve">id22sum ~/data1/UN_sample_name_0001.dat 0.002 1 7 lowtth=0 scalmon</w:t>
      </w:r>
      <w:r>
        <w:rPr>
          <w:highlight w:val="none"/>
        </w:rPr>
        <w:t xml:space="preserve"> ed=12</w:t>
        <w:br/>
      </w:r>
      <w:r>
        <w:rPr>
          <w:i/>
          <w:highlight w:val="none"/>
        </w:rPr>
        <w:t xml:space="preserve">0.002 = binning size</w:t>
        <w:br/>
        <w:t xml:space="preserve">1 7 number of scans you average. If only 2 scans were collected, 1 2</w:t>
        <w:br/>
        <w:t xml:space="preserve">ed=12 : exclude detector 12 (ONLY FOR 1st run of HG172 – September 2021)</w:t>
      </w:r>
      <w:r>
        <w:rPr>
          <w:i/>
          <w:highlight w:val="none"/>
        </w:rPr>
        <w:br/>
        <w:br/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Extract one .xye file per scan</w:t>
        <w:br/>
        <w:t xml:space="preserve">id22sumall </w:t>
      </w:r>
      <w:r>
        <w:rPr>
          <w:highlight w:val="none"/>
        </w:rPr>
        <w:t xml:space="preserve">~/data1/UN_sample_name.dat 0.0007 1 7 lowtth=0 scalmon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byssinica SIL" w:hAnsi="Abyssinica SIL" w:cs="Abyssinica SIL" w:eastAsia="Abyssinica SIL" w:hint="default"/>
          <w:highlight w:val="none"/>
        </w:rPr>
        <w:t xml:space="preserve">▶ </w:t>
      </w:r>
      <w:r>
        <w:rPr>
          <w:highlight w:val="none"/>
        </w:rPr>
        <w:t xml:space="preserve">To visualize patterns, in processing/HGXXX/...</w:t>
        <w:br/>
        <w:t xml:space="preserve">plmany UN_sample_name.xye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r>
        <w:rPr>
          <w:b/>
        </w:rPr>
        <w:t xml:space="preserve">Data transfer</w:t>
      </w:r>
      <w:r/>
    </w:p>
    <w:p>
      <w:pPr>
        <w:rPr>
          <w:highlight w:val="none"/>
        </w:rPr>
      </w:pPr>
      <w:r>
        <w:rPr>
          <w:highlight w:val="none"/>
        </w:rPr>
        <w:t xml:space="preserve">Please follow instructions on :</w:t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hyperlink r:id="rId8" w:tooltip="https://www.esrf.fr/home/UsersAndScience/support-and-infrastructure/Computing/ComputingOffsite/accessing-experimental-data.html" w:history="1">
        <w:r>
          <w:rPr>
            <w:rStyle w:val="792"/>
            <w:highlight w:val="none"/>
          </w:rPr>
          <w:t xml:space="preserve">https://www.esrf.fr/home/UsersAndScience/support-and-infrastructure/Computing/ComputingOffsite/accessing-experimental-data.html</w:t>
        </w:r>
        <w:r>
          <w:rPr>
            <w:rStyle w:val="792"/>
            <w:highlight w:val="none"/>
          </w:rPr>
        </w:r>
        <w:r>
          <w:rPr>
            <w:rStyle w:val="792"/>
            <w:highlight w:val="non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We recomand using the </w:t>
      </w:r>
      <w:r>
        <w:rPr>
          <w:highlight w:val="none"/>
          <w:u w:val="single"/>
        </w:rPr>
        <w:t xml:space="preserve">Globus </w:t>
      </w:r>
      <w:r>
        <w:rPr>
          <w:highlight w:val="none"/>
        </w:rPr>
        <w:t xml:space="preserve">solution</w:t>
      </w:r>
      <w:r/>
    </w:p>
    <w:p>
      <w:pPr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yssinica SIL">
    <w:panose1 w:val="020006030200000200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esrf.fr/home/UsersAndScience/support-and-infrastructure/Computing/ComputingOffsite/accessing-experimental-data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Kale</cp:lastModifiedBy>
  <cp:revision>11</cp:revision>
  <dcterms:modified xsi:type="dcterms:W3CDTF">2022-03-01T14:15:16Z</dcterms:modified>
</cp:coreProperties>
</file>